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79" w:rsidRDefault="007D0279" w:rsidP="007D0279">
      <w:pPr>
        <w:autoSpaceDE w:val="0"/>
        <w:autoSpaceDN w:val="0"/>
        <w:adjustRightInd w:val="0"/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19"/>
          <w:szCs w:val="19"/>
          <w:lang w:val="id-ID" w:eastAsia="id-ID"/>
        </w:rPr>
      </w:pPr>
      <w:r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19"/>
          <w:szCs w:val="19"/>
          <w:lang w:val="id-ID" w:eastAsia="id-ID"/>
        </w:rPr>
        <w:t>International Seminar and the Fourth National Conference on Mathematics Education 2011</w:t>
      </w:r>
    </w:p>
    <w:p w:rsidR="007D0279" w:rsidRDefault="007D0279" w:rsidP="007D02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81"/>
          <w:sz w:val="19"/>
          <w:szCs w:val="19"/>
          <w:lang w:val="id-ID" w:eastAsia="id-ID"/>
        </w:rPr>
      </w:pPr>
      <w:r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19"/>
          <w:szCs w:val="19"/>
          <w:lang w:val="id-ID" w:eastAsia="id-ID"/>
        </w:rPr>
        <w:t>“</w:t>
      </w:r>
      <w:r>
        <w:rPr>
          <w:rFonts w:ascii="Trebuchet MS" w:hAnsi="Trebuchet MS" w:cs="Trebuchet MS"/>
          <w:b/>
          <w:bCs/>
          <w:color w:val="000081"/>
          <w:sz w:val="19"/>
          <w:szCs w:val="19"/>
          <w:lang w:val="id-ID" w:eastAsia="id-ID"/>
        </w:rPr>
        <w:t>Building the Nation Character through Humanistic Mathematics Education”</w:t>
      </w:r>
    </w:p>
    <w:p w:rsidR="007D0279" w:rsidRDefault="007D0279" w:rsidP="007D0279">
      <w:pPr>
        <w:autoSpaceDE w:val="0"/>
        <w:autoSpaceDN w:val="0"/>
        <w:adjustRightInd w:val="0"/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19"/>
          <w:szCs w:val="19"/>
          <w:lang w:val="id-ID" w:eastAsia="id-ID"/>
        </w:rPr>
      </w:pPr>
      <w:r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19"/>
          <w:szCs w:val="19"/>
          <w:lang w:val="id-ID" w:eastAsia="id-ID"/>
        </w:rPr>
        <w:t>Department of Mathematics Education, Yogyakarta State University</w:t>
      </w:r>
    </w:p>
    <w:p w:rsidR="007D0279" w:rsidRDefault="007D0279" w:rsidP="007D0279">
      <w:pPr>
        <w:autoSpaceDE w:val="0"/>
        <w:autoSpaceDN w:val="0"/>
        <w:adjustRightInd w:val="0"/>
        <w:rPr>
          <w:b/>
          <w:bCs/>
          <w:color w:val="000000"/>
          <w:sz w:val="19"/>
          <w:szCs w:val="19"/>
          <w:lang w:val="id-ID" w:eastAsia="id-ID"/>
        </w:rPr>
      </w:pPr>
      <w:r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19"/>
          <w:szCs w:val="19"/>
          <w:lang w:val="id-ID" w:eastAsia="id-ID"/>
        </w:rPr>
        <w:t xml:space="preserve">Yogyakarta, July 21‐23,2011 </w:t>
      </w:r>
      <w:r>
        <w:rPr>
          <w:b/>
          <w:bCs/>
          <w:color w:val="000000"/>
          <w:sz w:val="19"/>
          <w:szCs w:val="19"/>
          <w:lang w:val="id-ID" w:eastAsia="id-ID"/>
        </w:rPr>
        <w:t>37</w:t>
      </w:r>
    </w:p>
    <w:p w:rsidR="007D0279" w:rsidRDefault="007D0279" w:rsidP="007D02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id-ID" w:eastAsia="id-ID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id-ID" w:eastAsia="id-ID"/>
        </w:rPr>
        <w:t>P - 5</w:t>
      </w:r>
    </w:p>
    <w:p w:rsidR="007D0279" w:rsidRDefault="007D0279" w:rsidP="007D0279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id-ID" w:eastAsia="id-ID"/>
        </w:rPr>
      </w:pPr>
    </w:p>
    <w:p w:rsidR="007D0279" w:rsidRDefault="007D0279" w:rsidP="00C11D9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id-ID" w:eastAsia="id-ID"/>
        </w:rPr>
      </w:pPr>
      <w:r>
        <w:rPr>
          <w:b/>
          <w:bCs/>
          <w:color w:val="000000"/>
          <w:sz w:val="26"/>
          <w:szCs w:val="26"/>
          <w:lang w:val="id-ID" w:eastAsia="id-ID"/>
        </w:rPr>
        <w:t>IMPROVING THE MATHEMATICS CRITICAL AND CREATIVE</w:t>
      </w:r>
    </w:p>
    <w:p w:rsidR="007D0279" w:rsidRDefault="007D0279" w:rsidP="00C11D9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id-ID" w:eastAsia="id-ID"/>
        </w:rPr>
      </w:pPr>
      <w:r>
        <w:rPr>
          <w:b/>
          <w:bCs/>
          <w:color w:val="000000"/>
          <w:sz w:val="26"/>
          <w:szCs w:val="26"/>
          <w:lang w:val="id-ID" w:eastAsia="id-ID"/>
        </w:rPr>
        <w:t>THINKING SKILLS IN GRADE 10</w:t>
      </w:r>
      <w:r>
        <w:rPr>
          <w:b/>
          <w:bCs/>
          <w:color w:val="000000"/>
          <w:sz w:val="17"/>
          <w:szCs w:val="17"/>
          <w:lang w:val="id-ID" w:eastAsia="id-ID"/>
        </w:rPr>
        <w:t xml:space="preserve">TH </w:t>
      </w:r>
      <w:r>
        <w:rPr>
          <w:b/>
          <w:bCs/>
          <w:color w:val="000000"/>
          <w:sz w:val="26"/>
          <w:szCs w:val="26"/>
          <w:lang w:val="id-ID" w:eastAsia="id-ID"/>
        </w:rPr>
        <w:t>SMA NEGERI 1 KASIHAN</w:t>
      </w:r>
    </w:p>
    <w:p w:rsidR="007D0279" w:rsidRDefault="007D0279" w:rsidP="00C11D9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id-ID" w:eastAsia="id-ID"/>
        </w:rPr>
      </w:pPr>
      <w:r>
        <w:rPr>
          <w:b/>
          <w:bCs/>
          <w:color w:val="000000"/>
          <w:sz w:val="26"/>
          <w:szCs w:val="26"/>
          <w:lang w:val="id-ID" w:eastAsia="id-ID"/>
        </w:rPr>
        <w:t>BANTUL ON MATHEMATICS LEARNING THROUGH</w:t>
      </w:r>
    </w:p>
    <w:p w:rsidR="007D0279" w:rsidRDefault="007D0279" w:rsidP="00C11D9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id-ID" w:eastAsia="id-ID"/>
        </w:rPr>
      </w:pPr>
      <w:r>
        <w:rPr>
          <w:b/>
          <w:bCs/>
          <w:color w:val="000000"/>
          <w:sz w:val="26"/>
          <w:szCs w:val="26"/>
          <w:lang w:val="id-ID" w:eastAsia="id-ID"/>
        </w:rPr>
        <w:t>PROBLEM-BASED LEARNING (PBL)</w:t>
      </w:r>
    </w:p>
    <w:p w:rsidR="007D0279" w:rsidRDefault="007D0279" w:rsidP="00C11D94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id-ID" w:eastAsia="id-ID"/>
        </w:rPr>
      </w:pPr>
      <w:r>
        <w:rPr>
          <w:b/>
          <w:bCs/>
          <w:color w:val="000000"/>
          <w:sz w:val="23"/>
          <w:szCs w:val="23"/>
          <w:lang w:val="id-ID" w:eastAsia="id-ID"/>
        </w:rPr>
        <w:t>Nurina Happy, S.Pd</w:t>
      </w:r>
    </w:p>
    <w:p w:rsidR="007D0279" w:rsidRDefault="007D0279" w:rsidP="00C11D94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id-ID" w:eastAsia="id-ID"/>
        </w:rPr>
      </w:pPr>
      <w:r>
        <w:rPr>
          <w:b/>
          <w:bCs/>
          <w:color w:val="000000"/>
          <w:sz w:val="23"/>
          <w:szCs w:val="23"/>
          <w:lang w:val="id-ID" w:eastAsia="id-ID"/>
        </w:rPr>
        <w:t>Endang Listyani, M.Si</w:t>
      </w:r>
    </w:p>
    <w:p w:rsidR="007D0279" w:rsidRDefault="007D0279" w:rsidP="00C11D94">
      <w:pPr>
        <w:autoSpaceDE w:val="0"/>
        <w:autoSpaceDN w:val="0"/>
        <w:adjustRightInd w:val="0"/>
        <w:jc w:val="center"/>
        <w:rPr>
          <w:i/>
          <w:iCs/>
          <w:color w:val="000000"/>
          <w:sz w:val="23"/>
          <w:szCs w:val="23"/>
          <w:lang w:val="id-ID" w:eastAsia="id-ID"/>
        </w:rPr>
      </w:pPr>
      <w:r>
        <w:rPr>
          <w:i/>
          <w:iCs/>
          <w:color w:val="000000"/>
          <w:sz w:val="23"/>
          <w:szCs w:val="23"/>
          <w:lang w:val="id-ID" w:eastAsia="id-ID"/>
        </w:rPr>
        <w:t>Universitas Negeri Yogyakarta</w:t>
      </w:r>
    </w:p>
    <w:p w:rsidR="00C11D94" w:rsidRDefault="00C11D94" w:rsidP="007D0279">
      <w:pPr>
        <w:autoSpaceDE w:val="0"/>
        <w:autoSpaceDN w:val="0"/>
        <w:adjustRightInd w:val="0"/>
        <w:jc w:val="both"/>
        <w:rPr>
          <w:b/>
          <w:bCs/>
          <w:color w:val="000000"/>
          <w:lang w:val="id-ID" w:eastAsia="id-ID"/>
        </w:rPr>
      </w:pPr>
    </w:p>
    <w:p w:rsidR="00C11D94" w:rsidRDefault="00C11D94" w:rsidP="007D0279">
      <w:pPr>
        <w:autoSpaceDE w:val="0"/>
        <w:autoSpaceDN w:val="0"/>
        <w:adjustRightInd w:val="0"/>
        <w:jc w:val="both"/>
        <w:rPr>
          <w:b/>
          <w:bCs/>
          <w:color w:val="000000"/>
          <w:lang w:val="id-ID" w:eastAsia="id-ID"/>
        </w:rPr>
      </w:pPr>
    </w:p>
    <w:p w:rsidR="007D0279" w:rsidRPr="007D0279" w:rsidRDefault="007D0279" w:rsidP="00C11D94">
      <w:pPr>
        <w:autoSpaceDE w:val="0"/>
        <w:autoSpaceDN w:val="0"/>
        <w:adjustRightInd w:val="0"/>
        <w:jc w:val="center"/>
        <w:rPr>
          <w:b/>
          <w:bCs/>
          <w:color w:val="000000"/>
          <w:lang w:val="id-ID" w:eastAsia="id-ID"/>
        </w:rPr>
      </w:pPr>
      <w:r w:rsidRPr="007D0279">
        <w:rPr>
          <w:b/>
          <w:bCs/>
          <w:color w:val="000000"/>
          <w:lang w:val="id-ID" w:eastAsia="id-ID"/>
        </w:rPr>
        <w:t>Abstract</w:t>
      </w:r>
    </w:p>
    <w:p w:rsidR="007D0279" w:rsidRDefault="007D0279" w:rsidP="007D0279">
      <w:pPr>
        <w:autoSpaceDE w:val="0"/>
        <w:autoSpaceDN w:val="0"/>
        <w:adjustRightInd w:val="0"/>
        <w:ind w:firstLine="720"/>
        <w:jc w:val="both"/>
        <w:rPr>
          <w:color w:val="000000"/>
          <w:lang w:val="id-ID" w:eastAsia="id-ID"/>
        </w:rPr>
      </w:pPr>
      <w:r w:rsidRPr="007D0279">
        <w:rPr>
          <w:color w:val="000000"/>
          <w:lang w:val="id-ID" w:eastAsia="id-ID"/>
        </w:rPr>
        <w:t>This research aims to describe: (1) implementation of the PBL that improve the mathematic critical</w:t>
      </w:r>
      <w:r>
        <w:rPr>
          <w:color w:val="000000"/>
          <w:lang w:val="id-ID" w:eastAsia="id-ID"/>
        </w:rPr>
        <w:t xml:space="preserve"> </w:t>
      </w:r>
      <w:r w:rsidRPr="007D0279">
        <w:rPr>
          <w:color w:val="000000"/>
          <w:lang w:val="id-ID" w:eastAsia="id-ID"/>
        </w:rPr>
        <w:t>and creative thinking skills and (2) improvement the mathematic critical and creative thinking skills of</w:t>
      </w:r>
      <w:r>
        <w:rPr>
          <w:color w:val="000000"/>
          <w:lang w:val="id-ID" w:eastAsia="id-ID"/>
        </w:rPr>
        <w:t xml:space="preserve"> </w:t>
      </w:r>
      <w:r w:rsidRPr="007D0279">
        <w:rPr>
          <w:color w:val="000000"/>
          <w:lang w:val="id-ID" w:eastAsia="id-ID"/>
        </w:rPr>
        <w:t xml:space="preserve">students with PBL. The research is Classroom Action-Research, which is consisted of two cycles. </w:t>
      </w:r>
      <w:r>
        <w:rPr>
          <w:color w:val="000000"/>
          <w:lang w:val="id-ID" w:eastAsia="id-ID"/>
        </w:rPr>
        <w:t>Th</w:t>
      </w:r>
      <w:r w:rsidRPr="007D0279">
        <w:rPr>
          <w:color w:val="000000"/>
          <w:lang w:val="id-ID" w:eastAsia="id-ID"/>
        </w:rPr>
        <w:t>e</w:t>
      </w:r>
      <w:r>
        <w:rPr>
          <w:color w:val="000000"/>
          <w:lang w:val="id-ID" w:eastAsia="id-ID"/>
        </w:rPr>
        <w:t xml:space="preserve"> re</w:t>
      </w:r>
      <w:r w:rsidRPr="007D0279">
        <w:rPr>
          <w:color w:val="000000"/>
          <w:lang w:val="id-ID" w:eastAsia="id-ID"/>
        </w:rPr>
        <w:t>search was conducted in SMA Negeri 1 Kasihan Bantul in August until December 2010. The subjects</w:t>
      </w:r>
      <w:r>
        <w:rPr>
          <w:color w:val="000000"/>
          <w:lang w:val="id-ID" w:eastAsia="id-ID"/>
        </w:rPr>
        <w:t xml:space="preserve"> </w:t>
      </w:r>
      <w:r w:rsidRPr="007D0279">
        <w:rPr>
          <w:color w:val="000000"/>
          <w:lang w:val="id-ID" w:eastAsia="id-ID"/>
        </w:rPr>
        <w:t xml:space="preserve">were all of the students in class X D which consist of 33 students. </w:t>
      </w:r>
    </w:p>
    <w:p w:rsidR="007D0279" w:rsidRDefault="007D0279" w:rsidP="007D0279">
      <w:pPr>
        <w:autoSpaceDE w:val="0"/>
        <w:autoSpaceDN w:val="0"/>
        <w:adjustRightInd w:val="0"/>
        <w:ind w:firstLine="720"/>
        <w:jc w:val="both"/>
        <w:rPr>
          <w:color w:val="000000"/>
          <w:lang w:val="id-ID" w:eastAsia="id-ID"/>
        </w:rPr>
      </w:pPr>
      <w:r w:rsidRPr="007D0279">
        <w:rPr>
          <w:color w:val="000000"/>
          <w:lang w:val="id-ID" w:eastAsia="id-ID"/>
        </w:rPr>
        <w:t>The data was obtained from</w:t>
      </w:r>
      <w:r>
        <w:rPr>
          <w:color w:val="000000"/>
          <w:lang w:val="id-ID" w:eastAsia="id-ID"/>
        </w:rPr>
        <w:t xml:space="preserve"> </w:t>
      </w:r>
      <w:r w:rsidRPr="007D0279">
        <w:rPr>
          <w:color w:val="000000"/>
          <w:lang w:val="id-ID" w:eastAsia="id-ID"/>
        </w:rPr>
        <w:t>observation sheet, field notes, documentation, interviews, and tests of critical and creative thinking skills</w:t>
      </w:r>
      <w:r>
        <w:rPr>
          <w:color w:val="000000"/>
          <w:lang w:val="id-ID" w:eastAsia="id-ID"/>
        </w:rPr>
        <w:t xml:space="preserve"> </w:t>
      </w:r>
      <w:r w:rsidRPr="007D0279">
        <w:rPr>
          <w:color w:val="000000"/>
          <w:lang w:val="id-ID" w:eastAsia="id-ID"/>
        </w:rPr>
        <w:t>in mathematics learning. The data validation has done by triangulation. The results shows that the</w:t>
      </w:r>
      <w:r>
        <w:rPr>
          <w:color w:val="000000"/>
          <w:lang w:val="id-ID" w:eastAsia="id-ID"/>
        </w:rPr>
        <w:t xml:space="preserve"> </w:t>
      </w:r>
      <w:r w:rsidRPr="007D0279">
        <w:rPr>
          <w:color w:val="000000"/>
          <w:lang w:val="id-ID" w:eastAsia="id-ID"/>
        </w:rPr>
        <w:t>implementation of the PBL which can improve the students’ mathematics critical and creative thinking</w:t>
      </w:r>
      <w:r>
        <w:rPr>
          <w:color w:val="000000"/>
          <w:lang w:val="id-ID" w:eastAsia="id-ID"/>
        </w:rPr>
        <w:t xml:space="preserve"> </w:t>
      </w:r>
      <w:r w:rsidRPr="007D0279">
        <w:rPr>
          <w:color w:val="000000"/>
          <w:lang w:val="id-ID" w:eastAsia="id-ID"/>
        </w:rPr>
        <w:t xml:space="preserve">skills consist of four steps: (1) </w:t>
      </w:r>
      <w:r w:rsidRPr="007D0279">
        <w:rPr>
          <w:i/>
          <w:iCs/>
          <w:color w:val="000000"/>
          <w:lang w:val="id-ID" w:eastAsia="id-ID"/>
        </w:rPr>
        <w:t>engagement</w:t>
      </w:r>
      <w:r w:rsidRPr="007D0279">
        <w:rPr>
          <w:color w:val="000000"/>
          <w:lang w:val="id-ID" w:eastAsia="id-ID"/>
        </w:rPr>
        <w:t xml:space="preserve">, (2) </w:t>
      </w:r>
      <w:r w:rsidRPr="007D0279">
        <w:rPr>
          <w:i/>
          <w:iCs/>
          <w:color w:val="000000"/>
          <w:lang w:val="id-ID" w:eastAsia="id-ID"/>
        </w:rPr>
        <w:t>inquiry and investigation</w:t>
      </w:r>
      <w:r w:rsidRPr="007D0279">
        <w:rPr>
          <w:color w:val="000000"/>
          <w:lang w:val="id-ID" w:eastAsia="id-ID"/>
        </w:rPr>
        <w:t xml:space="preserve">, (3) </w:t>
      </w:r>
      <w:r w:rsidRPr="007D0279">
        <w:rPr>
          <w:i/>
          <w:iCs/>
          <w:color w:val="000000"/>
          <w:lang w:val="id-ID" w:eastAsia="id-ID"/>
        </w:rPr>
        <w:t>performance</w:t>
      </w:r>
      <w:r w:rsidRPr="007D0279">
        <w:rPr>
          <w:color w:val="000000"/>
          <w:lang w:val="id-ID" w:eastAsia="id-ID"/>
        </w:rPr>
        <w:t>, and (4)</w:t>
      </w:r>
      <w:r w:rsidRPr="007D0279">
        <w:rPr>
          <w:i/>
          <w:iCs/>
          <w:color w:val="000000"/>
          <w:lang w:val="id-ID" w:eastAsia="id-ID"/>
        </w:rPr>
        <w:t>debriefing</w:t>
      </w:r>
      <w:r w:rsidRPr="007D0279">
        <w:rPr>
          <w:color w:val="000000"/>
          <w:lang w:val="id-ID" w:eastAsia="id-ID"/>
        </w:rPr>
        <w:t xml:space="preserve">. </w:t>
      </w:r>
    </w:p>
    <w:p w:rsidR="007D0279" w:rsidRPr="007D0279" w:rsidRDefault="007D0279" w:rsidP="007D0279">
      <w:pPr>
        <w:autoSpaceDE w:val="0"/>
        <w:autoSpaceDN w:val="0"/>
        <w:adjustRightInd w:val="0"/>
        <w:ind w:firstLine="720"/>
        <w:jc w:val="both"/>
        <w:rPr>
          <w:color w:val="000000"/>
          <w:lang w:val="id-ID" w:eastAsia="id-ID"/>
        </w:rPr>
      </w:pPr>
      <w:r w:rsidRPr="007D0279">
        <w:rPr>
          <w:color w:val="000000"/>
          <w:lang w:val="id-ID" w:eastAsia="id-ID"/>
        </w:rPr>
        <w:t>Learning activities had reached more than 75% of the plan that had been developed in the</w:t>
      </w:r>
      <w:r>
        <w:rPr>
          <w:color w:val="000000"/>
          <w:lang w:val="id-ID" w:eastAsia="id-ID"/>
        </w:rPr>
        <w:t xml:space="preserve"> </w:t>
      </w:r>
      <w:r w:rsidRPr="007D0279">
        <w:rPr>
          <w:color w:val="000000"/>
          <w:lang w:val="id-ID" w:eastAsia="id-ID"/>
        </w:rPr>
        <w:t>second cycle. Student self-learning activities on the second cycle was better than the first cycle. After they</w:t>
      </w:r>
      <w:r>
        <w:rPr>
          <w:color w:val="000000"/>
          <w:lang w:val="id-ID" w:eastAsia="id-ID"/>
        </w:rPr>
        <w:t xml:space="preserve"> </w:t>
      </w:r>
      <w:r w:rsidRPr="007D0279">
        <w:rPr>
          <w:color w:val="000000"/>
          <w:lang w:val="id-ID" w:eastAsia="id-ID"/>
        </w:rPr>
        <w:t>learned mathematics with the PBL model, the mathematic critical and creative thinking skills of students</w:t>
      </w:r>
      <w:r>
        <w:rPr>
          <w:color w:val="000000"/>
          <w:lang w:val="id-ID" w:eastAsia="id-ID"/>
        </w:rPr>
        <w:t xml:space="preserve"> </w:t>
      </w:r>
      <w:r w:rsidRPr="007D0279">
        <w:rPr>
          <w:color w:val="000000"/>
          <w:lang w:val="id-ID" w:eastAsia="id-ID"/>
        </w:rPr>
        <w:t>has increased. The aspects of critical thinking skill i.e. focus, clarity, and inference. The aspects of</w:t>
      </w:r>
      <w:r>
        <w:rPr>
          <w:color w:val="000000"/>
          <w:lang w:val="id-ID" w:eastAsia="id-ID"/>
        </w:rPr>
        <w:t xml:space="preserve"> </w:t>
      </w:r>
      <w:r w:rsidRPr="007D0279">
        <w:rPr>
          <w:color w:val="000000"/>
          <w:lang w:val="id-ID" w:eastAsia="id-ID"/>
        </w:rPr>
        <w:t>creative thinking skill i.e. fluency, originality, and flexibility.</w:t>
      </w:r>
    </w:p>
    <w:p w:rsidR="007D0279" w:rsidRDefault="007D0279" w:rsidP="007D0279">
      <w:pPr>
        <w:jc w:val="both"/>
        <w:rPr>
          <w:b/>
          <w:bCs/>
          <w:color w:val="000000"/>
          <w:lang w:val="id-ID" w:eastAsia="id-ID"/>
        </w:rPr>
      </w:pPr>
    </w:p>
    <w:p w:rsidR="00B6221D" w:rsidRPr="007D0279" w:rsidRDefault="007D0279" w:rsidP="007D0279">
      <w:pPr>
        <w:jc w:val="both"/>
      </w:pPr>
      <w:r w:rsidRPr="007D0279">
        <w:rPr>
          <w:b/>
          <w:bCs/>
          <w:color w:val="000000"/>
          <w:lang w:val="id-ID" w:eastAsia="id-ID"/>
        </w:rPr>
        <w:t>Keyword</w:t>
      </w:r>
      <w:r w:rsidRPr="007D0279">
        <w:rPr>
          <w:color w:val="000000"/>
          <w:lang w:val="id-ID" w:eastAsia="id-ID"/>
        </w:rPr>
        <w:t>: critical thinking, creative thinking, problem based learning</w:t>
      </w:r>
    </w:p>
    <w:sectPr w:rsidR="00B6221D" w:rsidRPr="007D0279" w:rsidSect="004F23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7D" w:rsidRDefault="00C9577D" w:rsidP="00C11D94">
      <w:r>
        <w:separator/>
      </w:r>
    </w:p>
  </w:endnote>
  <w:endnote w:type="continuationSeparator" w:id="0">
    <w:p w:rsidR="00C9577D" w:rsidRDefault="00C9577D" w:rsidP="00C1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BoldItalic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02" w:rsidRDefault="00BF18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02" w:rsidRDefault="00BF1802" w:rsidP="00BF1802">
    <w:pPr>
      <w:autoSpaceDE w:val="0"/>
      <w:autoSpaceDN w:val="0"/>
      <w:adjustRightInd w:val="0"/>
      <w:rPr>
        <w:rFonts w:ascii="PalatinoLinotype-BoldItalic" w:hAnsi="PalatinoLinotype-BoldItalic" w:cs="PalatinoLinotype-BoldItalic"/>
        <w:b/>
        <w:bCs/>
        <w:i/>
        <w:iCs/>
        <w:sz w:val="19"/>
        <w:szCs w:val="19"/>
        <w:lang w:val="id-ID" w:eastAsia="id-ID"/>
      </w:rPr>
    </w:pPr>
    <w:r>
      <w:rPr>
        <w:rFonts w:ascii="PalatinoLinotype-BoldItalic" w:hAnsi="PalatinoLinotype-BoldItalic" w:cs="PalatinoLinotype-BoldItalic"/>
        <w:b/>
        <w:bCs/>
        <w:i/>
        <w:iCs/>
        <w:sz w:val="19"/>
        <w:szCs w:val="19"/>
        <w:lang w:val="id-ID" w:eastAsia="id-ID"/>
      </w:rPr>
      <w:t>Department of Mathematics Education, Yogyakarta State University</w:t>
    </w:r>
  </w:p>
  <w:p w:rsidR="00BF1802" w:rsidRDefault="00BF1802" w:rsidP="00BF1802">
    <w:pPr>
      <w:autoSpaceDE w:val="0"/>
      <w:autoSpaceDN w:val="0"/>
      <w:adjustRightInd w:val="0"/>
      <w:rPr>
        <w:b/>
        <w:bCs/>
        <w:color w:val="000000"/>
        <w:sz w:val="23"/>
        <w:szCs w:val="23"/>
        <w:lang w:val="id-ID" w:eastAsia="id-ID"/>
      </w:rPr>
    </w:pPr>
    <w:r>
      <w:rPr>
        <w:rFonts w:ascii="PalatinoLinotype-BoldItalic" w:hAnsi="PalatinoLinotype-BoldItalic" w:cs="PalatinoLinotype-BoldItalic"/>
        <w:b/>
        <w:bCs/>
        <w:i/>
        <w:iCs/>
        <w:sz w:val="19"/>
        <w:szCs w:val="19"/>
        <w:lang w:val="id-ID" w:eastAsia="id-ID"/>
      </w:rPr>
      <w:t>Yogyakarta, July 21‐23,2011</w:t>
    </w:r>
  </w:p>
  <w:p w:rsidR="00C11D94" w:rsidRPr="00BF1802" w:rsidRDefault="00C11D94" w:rsidP="00BF18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02" w:rsidRDefault="00BF18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7D" w:rsidRDefault="00C9577D" w:rsidP="00C11D94">
      <w:r>
        <w:separator/>
      </w:r>
    </w:p>
  </w:footnote>
  <w:footnote w:type="continuationSeparator" w:id="0">
    <w:p w:rsidR="00C9577D" w:rsidRDefault="00C9577D" w:rsidP="00C11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02" w:rsidRDefault="00BF18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02" w:rsidRDefault="00BF18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02" w:rsidRDefault="00BF18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279"/>
    <w:rsid w:val="0013261F"/>
    <w:rsid w:val="004F2326"/>
    <w:rsid w:val="007D0279"/>
    <w:rsid w:val="00B6221D"/>
    <w:rsid w:val="00BF1802"/>
    <w:rsid w:val="00C11D94"/>
    <w:rsid w:val="00C9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32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1D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1D9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11D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D94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C1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D94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 Listy</dc:creator>
  <cp:lastModifiedBy>Endang Listy</cp:lastModifiedBy>
  <cp:revision>2</cp:revision>
  <dcterms:created xsi:type="dcterms:W3CDTF">2013-06-11T01:11:00Z</dcterms:created>
  <dcterms:modified xsi:type="dcterms:W3CDTF">2013-06-11T01:38:00Z</dcterms:modified>
</cp:coreProperties>
</file>